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34E3" w14:textId="476AFBCD" w:rsidR="009903E8" w:rsidRPr="00CE46D9" w:rsidRDefault="00F135AD" w:rsidP="00FC6478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E4EAD" wp14:editId="427D139F">
            <wp:simplePos x="0" y="0"/>
            <wp:positionH relativeFrom="margin">
              <wp:align>right</wp:align>
            </wp:positionH>
            <wp:positionV relativeFrom="page">
              <wp:posOffset>161925</wp:posOffset>
            </wp:positionV>
            <wp:extent cx="1104900" cy="845499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78" w:rsidRPr="00CE46D9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Healthy Eating and Active Living</w:t>
      </w:r>
      <w:r w:rsidR="00FC647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(HEAL)</w:t>
      </w:r>
      <w:r w:rsidR="009903E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</w:t>
      </w:r>
      <w:r w:rsidR="004B279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October</w:t>
      </w:r>
      <w:r w:rsidR="005519C3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</w:t>
      </w:r>
      <w:r w:rsidR="009903E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2023</w:t>
      </w:r>
    </w:p>
    <w:tbl>
      <w:tblPr>
        <w:tblStyle w:val="TableGrid"/>
        <w:tblW w:w="18961" w:type="dxa"/>
        <w:jc w:val="center"/>
        <w:tblLook w:val="04A0" w:firstRow="1" w:lastRow="0" w:firstColumn="1" w:lastColumn="0" w:noHBand="0" w:noVBand="1"/>
      </w:tblPr>
      <w:tblGrid>
        <w:gridCol w:w="2818"/>
        <w:gridCol w:w="3001"/>
        <w:gridCol w:w="1968"/>
        <w:gridCol w:w="5078"/>
        <w:gridCol w:w="2160"/>
        <w:gridCol w:w="3936"/>
      </w:tblGrid>
      <w:tr w:rsidR="00CE46D9" w14:paraId="5571C125" w14:textId="77777777" w:rsidTr="00FC6478">
        <w:trPr>
          <w:trHeight w:val="835"/>
          <w:jc w:val="center"/>
        </w:trPr>
        <w:tc>
          <w:tcPr>
            <w:tcW w:w="18961" w:type="dxa"/>
            <w:gridSpan w:val="6"/>
          </w:tcPr>
          <w:p w14:paraId="25FE3C51" w14:textId="77777777" w:rsidR="00232A06" w:rsidRPr="00232A06" w:rsidRDefault="00232A06" w:rsidP="00232A06">
            <w:pPr>
              <w:rPr>
                <w:rFonts w:ascii="Cambria" w:hAnsi="Cambria"/>
                <w:sz w:val="24"/>
                <w:szCs w:val="24"/>
              </w:rPr>
            </w:pPr>
            <w:r w:rsidRPr="00F943E2">
              <w:rPr>
                <w:rFonts w:ascii="Cambria" w:hAnsi="Cambria"/>
                <w:b/>
                <w:sz w:val="24"/>
                <w:szCs w:val="24"/>
              </w:rPr>
              <w:t>HEAL</w:t>
            </w:r>
            <w:r w:rsidRPr="00232A06">
              <w:rPr>
                <w:rFonts w:ascii="Cambria" w:hAnsi="Cambria"/>
                <w:sz w:val="24"/>
                <w:szCs w:val="24"/>
              </w:rPr>
              <w:t xml:space="preserve"> is defined in the CHNA as healthy eating, active living, access to food and food insecurity.  </w:t>
            </w:r>
          </w:p>
          <w:p w14:paraId="255CB2B7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Healthy eating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is an eating plan that emphasizes fruits, vegetables, whole grains and fat-free or low-fat milk and milk products; includes a variety of protein foods, is low in added sugars, sodium, saturated fats, trans </w:t>
            </w:r>
            <w:proofErr w:type="gramStart"/>
            <w:r w:rsidRPr="00691CE0">
              <w:rPr>
                <w:rFonts w:ascii="Cambria" w:hAnsi="Cambria"/>
                <w:szCs w:val="24"/>
              </w:rPr>
              <w:t>fat</w:t>
            </w:r>
            <w:proofErr w:type="gramEnd"/>
            <w:r w:rsidRPr="00691CE0">
              <w:rPr>
                <w:rFonts w:ascii="Cambria" w:hAnsi="Cambria"/>
                <w:szCs w:val="24"/>
              </w:rPr>
              <w:t xml:space="preserve"> and cholesterol and stays within in daily caloric needs.  Education, lifestyle interventions and food access positively affect healthy eating.</w:t>
            </w:r>
          </w:p>
          <w:p w14:paraId="7040CE4D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Active living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means doing physical activity throughout the day.  Any activity that is physical and includes bodily movement during free time is part of an active lifestyle. </w:t>
            </w:r>
          </w:p>
          <w:p w14:paraId="0137462E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Access to food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refers to the ability of an individual or household to acquire food.  Transportation, travel time, availability of safe, healthy foods and food prices are factors to food access.</w:t>
            </w:r>
          </w:p>
          <w:p w14:paraId="408BFCE5" w14:textId="77777777" w:rsidR="00CE46D9" w:rsidRPr="00232A06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Food insecurity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is as a lack of consistent access to enough, nutritious food for every person in a household to live an active, healthy life.</w:t>
            </w:r>
          </w:p>
        </w:tc>
      </w:tr>
      <w:tr w:rsidR="00CE46D9" w14:paraId="400FCD9C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080B9996" w14:textId="77777777" w:rsidR="00CE46D9" w:rsidRPr="00CE46D9" w:rsidRDefault="00CE46D9" w:rsidP="002E64B7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 w:rsidR="00D468FF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225DA7"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2E64B7" w14:paraId="3F3C761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394FA367" w14:textId="77777777" w:rsidR="002E64B7" w:rsidRPr="002E64B7" w:rsidRDefault="002E64B7" w:rsidP="002E64B7">
            <w:pPr>
              <w:spacing w:after="0"/>
              <w:rPr>
                <w:rFonts w:ascii="Cambria" w:hAnsi="Cambria"/>
                <w:b/>
                <w:color w:val="365F91"/>
                <w:sz w:val="28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HE1: By December 31, 2025, increase accessibility of healthy food in the Tri-County Region through the support of community gardens by 10%.</w:t>
            </w:r>
          </w:p>
        </w:tc>
      </w:tr>
      <w:tr w:rsidR="00CE46D9" w14:paraId="0CDBB99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A473D" w14:textId="77777777" w:rsidR="00225DA7" w:rsidRPr="002E64B7" w:rsidRDefault="00225DA7" w:rsidP="002E64B7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Intervention Strategy: Gardening: Increase Vegetable Consumption among Children (HE)</w:t>
            </w:r>
          </w:p>
        </w:tc>
      </w:tr>
      <w:tr w:rsidR="00B24B90" w14:paraId="5AFA24A7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646AB150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6C212865" w14:textId="77777777" w:rsidR="00B24B90" w:rsidRPr="002E64B7" w:rsidRDefault="00B24B90" w:rsidP="002E64B7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F179ED4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5078" w:type="dxa"/>
            <w:shd w:val="clear" w:color="auto" w:fill="F2F2F2" w:themeFill="background1" w:themeFillShade="F2"/>
          </w:tcPr>
          <w:p w14:paraId="583519D5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82CF30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3936" w:type="dxa"/>
            <w:shd w:val="clear" w:color="auto" w:fill="F2F2F2" w:themeFill="background1" w:themeFillShade="F2"/>
          </w:tcPr>
          <w:p w14:paraId="3F73DD3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AF0238" w14:paraId="0274C772" w14:textId="77777777" w:rsidTr="00C52CE8">
        <w:trPr>
          <w:trHeight w:val="441"/>
          <w:jc w:val="center"/>
        </w:trPr>
        <w:tc>
          <w:tcPr>
            <w:tcW w:w="2818" w:type="dxa"/>
            <w:vMerge w:val="restart"/>
          </w:tcPr>
          <w:p w14:paraId="495CF1CF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 xml:space="preserve">HE 1: Gather </w:t>
            </w:r>
            <w:r>
              <w:rPr>
                <w:rFonts w:ascii="Cambria" w:hAnsi="Cambria"/>
                <w:szCs w:val="24"/>
              </w:rPr>
              <w:t xml:space="preserve">baseline data around community </w:t>
            </w:r>
            <w:r w:rsidRPr="00225DA7">
              <w:rPr>
                <w:rFonts w:ascii="Cambria" w:hAnsi="Cambria"/>
                <w:szCs w:val="24"/>
              </w:rPr>
              <w:t>gardens and school-aged programming.</w:t>
            </w:r>
          </w:p>
          <w:p w14:paraId="0DB5758F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56B9CE2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C6E4AD8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001" w:type="dxa"/>
          </w:tcPr>
          <w:p w14:paraId="7E39F18B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Complete a comprehensive list establishing locations of </w:t>
            </w:r>
            <w:r w:rsidRPr="00225DA7">
              <w:rPr>
                <w:rFonts w:ascii="Cambria" w:hAnsi="Cambria"/>
                <w:szCs w:val="24"/>
              </w:rPr>
              <w:t>co</w:t>
            </w:r>
            <w:r>
              <w:rPr>
                <w:rFonts w:ascii="Cambria" w:hAnsi="Cambria"/>
                <w:szCs w:val="24"/>
              </w:rPr>
              <w:t xml:space="preserve">mmunity gardens and school aged gardening </w:t>
            </w:r>
            <w:r w:rsidRPr="00225DA7">
              <w:rPr>
                <w:rFonts w:ascii="Cambria" w:hAnsi="Cambria"/>
                <w:szCs w:val="24"/>
              </w:rPr>
              <w:t>programs.</w:t>
            </w:r>
          </w:p>
        </w:tc>
        <w:tc>
          <w:tcPr>
            <w:tcW w:w="1968" w:type="dxa"/>
            <w:shd w:val="clear" w:color="auto" w:fill="auto"/>
          </w:tcPr>
          <w:p w14:paraId="0FF460BA" w14:textId="4206D0A3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By January 2024, recruit Woodford County community gardens. </w:t>
            </w:r>
          </w:p>
        </w:tc>
        <w:tc>
          <w:tcPr>
            <w:tcW w:w="5078" w:type="dxa"/>
            <w:vMerge w:val="restart"/>
            <w:shd w:val="clear" w:color="auto" w:fill="auto"/>
          </w:tcPr>
          <w:p w14:paraId="2D2F8388" w14:textId="1CB4A9AB" w:rsidR="00AF0238" w:rsidRPr="00605660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List is completed of local gardens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2D5C895" w14:textId="59DDC01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Plan: need to work on outreach for numbers as we approach off season. Plan in place for gathering. </w:t>
            </w:r>
          </w:p>
        </w:tc>
        <w:tc>
          <w:tcPr>
            <w:tcW w:w="3936" w:type="dxa"/>
            <w:vMerge w:val="restart"/>
            <w:shd w:val="clear" w:color="auto" w:fill="auto"/>
          </w:tcPr>
          <w:p w14:paraId="2E7CBD3E" w14:textId="2B1F0A53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n/a – just need to collect data and waiting </w:t>
            </w:r>
            <w:proofErr w:type="spellStart"/>
            <w:r>
              <w:rPr>
                <w:rFonts w:ascii="Cambria" w:hAnsi="Cambria"/>
                <w:szCs w:val="24"/>
              </w:rPr>
              <w:t>til</w:t>
            </w:r>
            <w:proofErr w:type="spellEnd"/>
            <w:r>
              <w:rPr>
                <w:rFonts w:ascii="Cambria" w:hAnsi="Cambria"/>
                <w:szCs w:val="24"/>
              </w:rPr>
              <w:t xml:space="preserve"> everything slows down some for our gardens</w:t>
            </w:r>
          </w:p>
        </w:tc>
      </w:tr>
      <w:tr w:rsidR="00AF0238" w14:paraId="5D85EBA9" w14:textId="77777777" w:rsidTr="00C52CE8">
        <w:trPr>
          <w:trHeight w:val="441"/>
          <w:jc w:val="center"/>
        </w:trPr>
        <w:tc>
          <w:tcPr>
            <w:tcW w:w="2818" w:type="dxa"/>
            <w:vMerge/>
          </w:tcPr>
          <w:p w14:paraId="551424AC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001" w:type="dxa"/>
          </w:tcPr>
          <w:p w14:paraId="00CFC68A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children/families accessing the community </w:t>
            </w:r>
            <w:r w:rsidRPr="00225DA7">
              <w:rPr>
                <w:rFonts w:ascii="Cambria" w:hAnsi="Cambria"/>
                <w:szCs w:val="24"/>
              </w:rPr>
              <w:t>gardens</w:t>
            </w:r>
          </w:p>
        </w:tc>
        <w:tc>
          <w:tcPr>
            <w:tcW w:w="1968" w:type="dxa"/>
            <w:shd w:val="clear" w:color="auto" w:fill="auto"/>
          </w:tcPr>
          <w:p w14:paraId="3E003D67" w14:textId="40D1A9E9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 – Identify # of children and families that accessed the garden</w:t>
            </w:r>
          </w:p>
        </w:tc>
        <w:tc>
          <w:tcPr>
            <w:tcW w:w="5078" w:type="dxa"/>
            <w:vMerge/>
            <w:shd w:val="clear" w:color="auto" w:fill="auto"/>
          </w:tcPr>
          <w:p w14:paraId="2A4064C6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366C265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14:paraId="183C5497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</w:tr>
      <w:tr w:rsidR="00995759" w14:paraId="67EB40FD" w14:textId="77777777" w:rsidTr="00C52CE8">
        <w:trPr>
          <w:trHeight w:val="441"/>
          <w:jc w:val="center"/>
        </w:trPr>
        <w:tc>
          <w:tcPr>
            <w:tcW w:w="2818" w:type="dxa"/>
            <w:vMerge w:val="restart"/>
          </w:tcPr>
          <w:p w14:paraId="75AEA52F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2: I</w:t>
            </w:r>
            <w:r>
              <w:rPr>
                <w:rFonts w:ascii="Cambria" w:hAnsi="Cambria"/>
                <w:szCs w:val="24"/>
              </w:rPr>
              <w:t xml:space="preserve">mplement garden-based learning </w:t>
            </w:r>
            <w:r w:rsidRPr="00225DA7">
              <w:rPr>
                <w:rFonts w:ascii="Cambria" w:hAnsi="Cambria"/>
                <w:szCs w:val="24"/>
              </w:rPr>
              <w:t>se</w:t>
            </w:r>
            <w:r>
              <w:rPr>
                <w:rFonts w:ascii="Cambria" w:hAnsi="Cambria"/>
                <w:szCs w:val="24"/>
              </w:rPr>
              <w:t xml:space="preserve">ssions focused on gardening and healthy </w:t>
            </w:r>
            <w:r w:rsidRPr="00225DA7">
              <w:rPr>
                <w:rFonts w:ascii="Cambria" w:hAnsi="Cambria"/>
                <w:szCs w:val="24"/>
              </w:rPr>
              <w:t>eating.</w:t>
            </w:r>
          </w:p>
        </w:tc>
        <w:tc>
          <w:tcPr>
            <w:tcW w:w="3001" w:type="dxa"/>
          </w:tcPr>
          <w:p w14:paraId="4803E067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children/families attending information sessions about gardening and </w:t>
            </w:r>
            <w:r w:rsidRPr="00225DA7">
              <w:rPr>
                <w:rFonts w:ascii="Cambria" w:hAnsi="Cambria"/>
                <w:szCs w:val="24"/>
              </w:rPr>
              <w:t>healthy foods.</w:t>
            </w:r>
          </w:p>
        </w:tc>
        <w:tc>
          <w:tcPr>
            <w:tcW w:w="1968" w:type="dxa"/>
            <w:shd w:val="clear" w:color="auto" w:fill="auto"/>
          </w:tcPr>
          <w:p w14:paraId="57C4B1A6" w14:textId="588CAB41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April 2023 – Identify # of children and families that </w:t>
            </w:r>
            <w:r>
              <w:rPr>
                <w:rFonts w:ascii="Cambria" w:hAnsi="Cambria"/>
                <w:szCs w:val="24"/>
              </w:rPr>
              <w:lastRenderedPageBreak/>
              <w:t>attended garden-based learning</w:t>
            </w:r>
          </w:p>
        </w:tc>
        <w:tc>
          <w:tcPr>
            <w:tcW w:w="5078" w:type="dxa"/>
            <w:vMerge w:val="restart"/>
            <w:shd w:val="clear" w:color="auto" w:fill="auto"/>
          </w:tcPr>
          <w:p w14:paraId="24845F7C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Talked with Dr Kelly &amp; Megan from TCHD about creating a standard evaluation that could be used by those doing education in the garden. This could help measure any efforts going on across all </w:t>
            </w:r>
            <w:r>
              <w:rPr>
                <w:rFonts w:ascii="Cambria" w:hAnsi="Cambria"/>
                <w:szCs w:val="24"/>
              </w:rPr>
              <w:lastRenderedPageBreak/>
              <w:t xml:space="preserve">gardens. The curriculums we have could be used as a toolkit for partners looking to get involved and add more education at their sites. </w:t>
            </w:r>
          </w:p>
          <w:p w14:paraId="054FEFF1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66B4A67F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Reviewed the survey results for adult nutrition lessons in gardens from Tri-County. </w:t>
            </w:r>
            <w:proofErr w:type="gramStart"/>
            <w:r>
              <w:rPr>
                <w:rFonts w:ascii="Cambria" w:hAnsi="Cambria"/>
                <w:szCs w:val="24"/>
              </w:rPr>
              <w:t>Survey</w:t>
            </w:r>
            <w:proofErr w:type="gramEnd"/>
            <w:r>
              <w:rPr>
                <w:rFonts w:ascii="Cambria" w:hAnsi="Cambria"/>
                <w:szCs w:val="24"/>
              </w:rPr>
              <w:t xml:space="preserve"> reviewed some top barriers, incentives and educational </w:t>
            </w:r>
            <w:proofErr w:type="gramStart"/>
            <w:r>
              <w:rPr>
                <w:rFonts w:ascii="Cambria" w:hAnsi="Cambria"/>
                <w:szCs w:val="24"/>
              </w:rPr>
              <w:t>subjects</w:t>
            </w:r>
            <w:proofErr w:type="gramEnd"/>
            <w:r>
              <w:rPr>
                <w:rFonts w:ascii="Cambria" w:hAnsi="Cambria"/>
                <w:szCs w:val="24"/>
              </w:rPr>
              <w:t xml:space="preserve"> people were interested in. </w:t>
            </w:r>
          </w:p>
          <w:p w14:paraId="3B644DF3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20F27C4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Cs w:val="24"/>
              </w:rPr>
              <w:t>Team</w:t>
            </w:r>
            <w:proofErr w:type="gramEnd"/>
            <w:r>
              <w:rPr>
                <w:rFonts w:ascii="Cambria" w:hAnsi="Cambria"/>
                <w:szCs w:val="24"/>
              </w:rPr>
              <w:t xml:space="preserve"> brainstormed what this could maybe look like for adults across the tri-county and how to best get people to the table for lessons. One thought that came up was using food as an incentive. Potentially have a box of food that people could take home to recreate a meal or recipe. Recipes/meal ideas were one of the </w:t>
            </w:r>
            <w:proofErr w:type="gramStart"/>
            <w:r>
              <w:rPr>
                <w:rFonts w:ascii="Cambria" w:hAnsi="Cambria"/>
                <w:szCs w:val="24"/>
              </w:rPr>
              <w:t>top</w:t>
            </w:r>
            <w:proofErr w:type="gramEnd"/>
            <w:r>
              <w:rPr>
                <w:rFonts w:ascii="Cambria" w:hAnsi="Cambria"/>
                <w:szCs w:val="24"/>
              </w:rPr>
              <w:t xml:space="preserve"> interested subjects. Possibility to work with our Food Banks and the LFPA grant to get local food boxes to share with participants? Rebecca to talk to </w:t>
            </w:r>
            <w:proofErr w:type="gramStart"/>
            <w:r>
              <w:rPr>
                <w:rFonts w:ascii="Cambria" w:hAnsi="Cambria"/>
                <w:szCs w:val="24"/>
              </w:rPr>
              <w:t>other</w:t>
            </w:r>
            <w:proofErr w:type="gramEnd"/>
            <w:r>
              <w:rPr>
                <w:rFonts w:ascii="Cambria" w:hAnsi="Cambria"/>
                <w:szCs w:val="24"/>
              </w:rPr>
              <w:t xml:space="preserve"> about the idea. </w:t>
            </w:r>
          </w:p>
          <w:p w14:paraId="2FE00C2A" w14:textId="19607565" w:rsidR="00995759" w:rsidRPr="00BB797D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2EE8CC97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Future – continue to reach out to partners who may be interested in </w:t>
            </w:r>
            <w:r>
              <w:rPr>
                <w:rFonts w:ascii="Cambria" w:hAnsi="Cambria"/>
                <w:szCs w:val="24"/>
              </w:rPr>
              <w:lastRenderedPageBreak/>
              <w:t xml:space="preserve">helping incentivize participation in classes. Also partners who could potentially be a good place to host </w:t>
            </w:r>
            <w:proofErr w:type="gramStart"/>
            <w:r>
              <w:rPr>
                <w:rFonts w:ascii="Cambria" w:hAnsi="Cambria"/>
                <w:szCs w:val="24"/>
              </w:rPr>
              <w:t>discussed</w:t>
            </w:r>
            <w:proofErr w:type="gramEnd"/>
            <w:r>
              <w:rPr>
                <w:rFonts w:ascii="Cambria" w:hAnsi="Cambria"/>
                <w:szCs w:val="24"/>
              </w:rPr>
              <w:t xml:space="preserve">. Rebecca to reach out to OSF Cancer Center. Mike thinks their kitchen and garden could be a good place to do some classes as we form this for our tri-county area. </w:t>
            </w:r>
          </w:p>
          <w:p w14:paraId="33FD9366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220C8207" w14:textId="77777777" w:rsidR="00995759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Cs w:val="24"/>
              </w:rPr>
              <w:t>With receiving</w:t>
            </w:r>
            <w:proofErr w:type="gramEnd"/>
            <w:r>
              <w:rPr>
                <w:rFonts w:ascii="Cambria" w:hAnsi="Cambria"/>
                <w:szCs w:val="24"/>
              </w:rPr>
              <w:t xml:space="preserve"> info through social media – opportunity to grow our partnership page again by creating events and publicizing through the page?</w:t>
            </w:r>
          </w:p>
          <w:p w14:paraId="479A44E8" w14:textId="54E51571" w:rsidR="00995759" w:rsidRPr="00BB797D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3936" w:type="dxa"/>
            <w:vMerge w:val="restart"/>
            <w:shd w:val="clear" w:color="auto" w:fill="auto"/>
          </w:tcPr>
          <w:p w14:paraId="045264A2" w14:textId="73747427" w:rsidR="00995759" w:rsidRPr="00605660" w:rsidRDefault="00995759" w:rsidP="0099575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Numbers need to be a focus for upcoming months meeting as we close out 2023 and address our baseline from this year</w:t>
            </w:r>
          </w:p>
        </w:tc>
      </w:tr>
      <w:tr w:rsidR="00AF0238" w14:paraId="044D4713" w14:textId="77777777" w:rsidTr="00C52CE8">
        <w:trPr>
          <w:trHeight w:val="441"/>
          <w:jc w:val="center"/>
        </w:trPr>
        <w:tc>
          <w:tcPr>
            <w:tcW w:w="2818" w:type="dxa"/>
            <w:vMerge/>
          </w:tcPr>
          <w:p w14:paraId="47291535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001" w:type="dxa"/>
          </w:tcPr>
          <w:p w14:paraId="0E1F704B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Increase healthy eating knowledge through pre/</w:t>
            </w:r>
            <w:proofErr w:type="spellStart"/>
            <w:r>
              <w:rPr>
                <w:rFonts w:ascii="Cambria" w:hAnsi="Cambria"/>
                <w:szCs w:val="24"/>
              </w:rPr>
              <w:t>post test</w:t>
            </w:r>
            <w:proofErr w:type="spellEnd"/>
            <w:r>
              <w:rPr>
                <w:rFonts w:ascii="Cambria" w:hAnsi="Cambria"/>
                <w:szCs w:val="24"/>
              </w:rPr>
              <w:t xml:space="preserve"> evaluation per session by </w:t>
            </w:r>
            <w:r w:rsidRPr="00225DA7">
              <w:rPr>
                <w:rFonts w:ascii="Cambria" w:hAnsi="Cambria"/>
                <w:szCs w:val="24"/>
              </w:rPr>
              <w:t>75%</w:t>
            </w:r>
          </w:p>
        </w:tc>
        <w:tc>
          <w:tcPr>
            <w:tcW w:w="1968" w:type="dxa"/>
            <w:shd w:val="clear" w:color="auto" w:fill="auto"/>
          </w:tcPr>
          <w:p w14:paraId="67239F25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5C9D4D98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9B6A36D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14:paraId="0EA852F5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A8349FB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14:paraId="49BA1F3D" w14:textId="77777777" w:rsidR="00AF0238" w:rsidRPr="00BB797D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</w:tr>
      <w:tr w:rsidR="00F24B15" w14:paraId="4B4E190C" w14:textId="77777777" w:rsidTr="0014779C">
        <w:trPr>
          <w:trHeight w:val="63"/>
          <w:jc w:val="center"/>
        </w:trPr>
        <w:tc>
          <w:tcPr>
            <w:tcW w:w="2818" w:type="dxa"/>
          </w:tcPr>
          <w:p w14:paraId="23AC4433" w14:textId="77777777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3: Promote campaign</w:t>
            </w:r>
            <w:r>
              <w:rPr>
                <w:rFonts w:ascii="Cambria" w:hAnsi="Cambria"/>
                <w:szCs w:val="24"/>
              </w:rPr>
              <w:t xml:space="preserve">s focused on healthy eating and access to healthy </w:t>
            </w:r>
            <w:r w:rsidRPr="00225DA7">
              <w:rPr>
                <w:rFonts w:ascii="Cambria" w:hAnsi="Cambria"/>
                <w:szCs w:val="24"/>
              </w:rPr>
              <w:t>foods.</w:t>
            </w:r>
          </w:p>
        </w:tc>
        <w:tc>
          <w:tcPr>
            <w:tcW w:w="3001" w:type="dxa"/>
          </w:tcPr>
          <w:p w14:paraId="22C11705" w14:textId="77777777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healthy eating and community gardening campaigns in the Tri-County </w:t>
            </w:r>
            <w:r w:rsidRPr="00225DA7">
              <w:rPr>
                <w:rFonts w:ascii="Cambria" w:hAnsi="Cambria"/>
                <w:szCs w:val="24"/>
              </w:rPr>
              <w:t>Region.</w:t>
            </w:r>
          </w:p>
        </w:tc>
        <w:tc>
          <w:tcPr>
            <w:tcW w:w="1968" w:type="dxa"/>
            <w:shd w:val="clear" w:color="auto" w:fill="auto"/>
          </w:tcPr>
          <w:p w14:paraId="649CE106" w14:textId="26E70361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2023- Identify number of campaigns completed in 2022.</w:t>
            </w:r>
          </w:p>
        </w:tc>
        <w:tc>
          <w:tcPr>
            <w:tcW w:w="5078" w:type="dxa"/>
            <w:shd w:val="clear" w:color="auto" w:fill="auto"/>
          </w:tcPr>
          <w:p w14:paraId="66FDC87C" w14:textId="77777777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Hunger Action Month completed – </w:t>
            </w:r>
            <w:hyperlink r:id="rId10" w:history="1">
              <w:r w:rsidRPr="00DC0761">
                <w:rPr>
                  <w:rStyle w:val="Hyperlink"/>
                  <w:rFonts w:ascii="Cambria" w:hAnsi="Cambria"/>
                  <w:szCs w:val="24"/>
                </w:rPr>
                <w:t>2023 HAM Toolkit</w:t>
              </w:r>
            </w:hyperlink>
            <w:r>
              <w:rPr>
                <w:rFonts w:ascii="Cambria" w:hAnsi="Cambria"/>
                <w:szCs w:val="24"/>
              </w:rPr>
              <w:t xml:space="preserve"> was downloaded 12 times across 5 counties. Survey sent to those who downloaded to gather input for future iterations. Toolkit is added permanently to the Partnership Website. </w:t>
            </w:r>
          </w:p>
          <w:p w14:paraId="3101250C" w14:textId="77777777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3F71BB2" w14:textId="77777777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Future campaigns around HE</w:t>
            </w:r>
          </w:p>
          <w:p w14:paraId="09EE4971" w14:textId="77777777" w:rsidR="00F24B15" w:rsidRDefault="00F24B15" w:rsidP="00F24B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Holiday time Healthier Eating – Rebecca to circle back to Kate at the Y</w:t>
            </w:r>
          </w:p>
          <w:p w14:paraId="15843C5C" w14:textId="77777777" w:rsidR="00F24B15" w:rsidRDefault="00F24B15" w:rsidP="00F24B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12 Days of Giving – Holiday Giving campaign around healthier food items for charitable food – toolkit being updated with input from our partners – need to create things for use on website and not just social media – maybe create a bulletin blurb for churches?</w:t>
            </w:r>
          </w:p>
          <w:p w14:paraId="0D0C53C4" w14:textId="77777777" w:rsidR="00F24B15" w:rsidRDefault="00F24B15" w:rsidP="00F24B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Produce usage (Farmer’s market video with OSF) – check in on who created and can we do more in the future – no updates as of </w:t>
            </w:r>
            <w:proofErr w:type="gramStart"/>
            <w:r>
              <w:rPr>
                <w:rFonts w:ascii="Cambria" w:hAnsi="Cambria"/>
                <w:szCs w:val="24"/>
              </w:rPr>
              <w:t>now</w:t>
            </w:r>
            <w:proofErr w:type="gramEnd"/>
          </w:p>
          <w:p w14:paraId="2CF63E7A" w14:textId="77777777" w:rsidR="00F24B15" w:rsidRDefault="00F24B15" w:rsidP="00F24B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Gardening tips – maybe have time to work on what this could look like and – no updates as of </w:t>
            </w:r>
            <w:proofErr w:type="gramStart"/>
            <w:r>
              <w:rPr>
                <w:rFonts w:ascii="Cambria" w:hAnsi="Cambria"/>
                <w:szCs w:val="24"/>
              </w:rPr>
              <w:t>now</w:t>
            </w:r>
            <w:proofErr w:type="gramEnd"/>
          </w:p>
          <w:p w14:paraId="7DC7919A" w14:textId="77777777" w:rsidR="00F24B15" w:rsidRDefault="00F24B15" w:rsidP="00F24B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Kids Cook Monday - </w:t>
            </w:r>
            <w:hyperlink r:id="rId11" w:history="1">
              <w:r w:rsidRPr="00341672">
                <w:rPr>
                  <w:rStyle w:val="Hyperlink"/>
                  <w:rFonts w:ascii="Cambria" w:hAnsi="Cambria"/>
                  <w:szCs w:val="24"/>
                </w:rPr>
                <w:t>https://www.mondaycampaigns.org/kids-cook-monday</w:t>
              </w:r>
            </w:hyperlink>
            <w:r>
              <w:rPr>
                <w:rFonts w:ascii="Cambria" w:hAnsi="Cambria"/>
                <w:szCs w:val="24"/>
              </w:rPr>
              <w:t xml:space="preserve">  - WIC Tri-County Team to brainstorm what they think this campaign could look like</w:t>
            </w:r>
          </w:p>
          <w:p w14:paraId="71718495" w14:textId="58704B18" w:rsidR="00F24B15" w:rsidRPr="00605660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AF84D6E" w14:textId="198A590E" w:rsidR="00F24B15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Work moving forward and mostly described in part 1 – campaign 1 complete and future campaigns in the work</w:t>
            </w:r>
          </w:p>
        </w:tc>
        <w:tc>
          <w:tcPr>
            <w:tcW w:w="3936" w:type="dxa"/>
            <w:shd w:val="clear" w:color="auto" w:fill="auto"/>
          </w:tcPr>
          <w:p w14:paraId="12BF2DD6" w14:textId="6B871F50" w:rsidR="00F24B15" w:rsidRPr="00BB797D" w:rsidRDefault="00F24B15" w:rsidP="00F24B15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None </w:t>
            </w:r>
            <w:proofErr w:type="gramStart"/>
            <w:r>
              <w:rPr>
                <w:rFonts w:ascii="Cambria" w:hAnsi="Cambria"/>
                <w:szCs w:val="24"/>
              </w:rPr>
              <w:t>at this time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AF0238" w14:paraId="72B1B5FF" w14:textId="77777777" w:rsidTr="000D15D7">
        <w:trPr>
          <w:trHeight w:val="441"/>
          <w:jc w:val="center"/>
        </w:trPr>
        <w:tc>
          <w:tcPr>
            <w:tcW w:w="18961" w:type="dxa"/>
            <w:gridSpan w:val="6"/>
          </w:tcPr>
          <w:p w14:paraId="7AE5F4B3" w14:textId="399A4102" w:rsidR="00AF0238" w:rsidRPr="001159B6" w:rsidRDefault="00AF0238" w:rsidP="00AF0238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4031B52F" w14:textId="77777777" w:rsidR="00AF0238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Diabetes Prevention Program – Hope Chest - Pekin, Wednesdays 10-11am</w:t>
            </w:r>
          </w:p>
          <w:p w14:paraId="45EBEF2D" w14:textId="007F1848" w:rsidR="00AF0238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Diabetes Prevention Program – </w:t>
            </w:r>
            <w:proofErr w:type="spellStart"/>
            <w:r>
              <w:rPr>
                <w:rFonts w:ascii="Cambria" w:hAnsi="Cambria"/>
                <w:szCs w:val="24"/>
              </w:rPr>
              <w:t>Fondulac</w:t>
            </w:r>
            <w:proofErr w:type="spellEnd"/>
            <w:r>
              <w:rPr>
                <w:rFonts w:ascii="Cambria" w:hAnsi="Cambria"/>
                <w:szCs w:val="24"/>
              </w:rPr>
              <w:t xml:space="preserve"> Library - Thursdays</w:t>
            </w:r>
          </w:p>
          <w:p w14:paraId="57FF2816" w14:textId="379EE50E" w:rsidR="00AF0238" w:rsidRPr="00BB797D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Diabetes Prevention Program – Creve Coeur Public Library -</w:t>
            </w:r>
          </w:p>
        </w:tc>
      </w:tr>
      <w:tr w:rsidR="00AF0238" w:rsidRPr="00CE46D9" w14:paraId="5F92604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269FE7F5" w14:textId="77777777" w:rsidR="00AF0238" w:rsidRPr="00CE46D9" w:rsidRDefault="00AF0238" w:rsidP="00AF0238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AF0238" w:rsidRPr="002E64B7" w14:paraId="1E3609B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40EBC" w14:textId="77777777" w:rsidR="00AF0238" w:rsidRPr="00262A2B" w:rsidRDefault="00AF0238" w:rsidP="00AF0238">
            <w:pPr>
              <w:spacing w:after="0"/>
              <w:rPr>
                <w:rFonts w:ascii="Cambria" w:hAnsi="Cambria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2</w:t>
            </w: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 xml:space="preserve">: </w:t>
            </w:r>
            <w:r w:rsidRPr="00262A2B">
              <w:rPr>
                <w:rFonts w:ascii="Cambria" w:hAnsi="Cambria"/>
                <w:b/>
                <w:color w:val="365F91"/>
                <w:sz w:val="24"/>
                <w:szCs w:val="24"/>
              </w:rPr>
              <w:t>By December 31, 2025, increase adults reporting exercising 1-5 days a week am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ong the Tri-County Region by 1%</w:t>
            </w:r>
          </w:p>
        </w:tc>
      </w:tr>
      <w:tr w:rsidR="00AF0238" w:rsidRPr="002E64B7" w14:paraId="3689BA41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1A1F1C34" w14:textId="77777777" w:rsidR="00AF0238" w:rsidRPr="002E64B7" w:rsidRDefault="00AF0238" w:rsidP="00AF0238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Intervention Strategy: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Physical Activity- Increase physical activity through social supports t</w:t>
            </w:r>
            <w:r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o improve fitness of adults in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the tri-county area. (PA)</w:t>
            </w:r>
          </w:p>
        </w:tc>
      </w:tr>
      <w:tr w:rsidR="00AF0238" w:rsidRPr="002E64B7" w14:paraId="383BD51D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5CBB0E67" w14:textId="77777777" w:rsidR="00AF0238" w:rsidRPr="002E64B7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0F246781" w14:textId="77777777" w:rsidR="00AF0238" w:rsidRPr="002E64B7" w:rsidRDefault="00AF0238" w:rsidP="00AF0238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2A36A6D" w14:textId="77777777" w:rsidR="00AF0238" w:rsidRPr="002E64B7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5078" w:type="dxa"/>
            <w:shd w:val="clear" w:color="auto" w:fill="F2F2F2" w:themeFill="background1" w:themeFillShade="F2"/>
          </w:tcPr>
          <w:p w14:paraId="523691AB" w14:textId="77777777" w:rsidR="00AF0238" w:rsidRPr="002E64B7" w:rsidRDefault="00AF0238" w:rsidP="00AF0238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27F1E33" w14:textId="77777777" w:rsidR="00AF0238" w:rsidRPr="002E64B7" w:rsidRDefault="00AF0238" w:rsidP="00AF0238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3936" w:type="dxa"/>
            <w:shd w:val="clear" w:color="auto" w:fill="F2F2F2" w:themeFill="background1" w:themeFillShade="F2"/>
          </w:tcPr>
          <w:p w14:paraId="31B6432D" w14:textId="77777777" w:rsidR="00AF0238" w:rsidRPr="002E64B7" w:rsidRDefault="00AF0238" w:rsidP="00AF0238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AF0238" w:rsidRPr="002E64B7" w14:paraId="345B8B1B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6A6B831D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1: Increase data collection focusing on adult physical activity in the Tri-County Region.</w:t>
            </w:r>
          </w:p>
        </w:tc>
        <w:tc>
          <w:tcPr>
            <w:tcW w:w="3001" w:type="dxa"/>
            <w:shd w:val="clear" w:color="auto" w:fill="auto"/>
          </w:tcPr>
          <w:p w14:paraId="3991D79C" w14:textId="77777777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# of establishments collecting adult physical activity data in the Tri-County Region.</w:t>
            </w:r>
          </w:p>
        </w:tc>
        <w:tc>
          <w:tcPr>
            <w:tcW w:w="1968" w:type="dxa"/>
            <w:shd w:val="clear" w:color="auto" w:fill="auto"/>
          </w:tcPr>
          <w:p w14:paraId="2B0960FA" w14:textId="51776FC8" w:rsidR="00AF0238" w:rsidRPr="00262A2B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407E6F94" w14:textId="69937972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Amy researched apps to track physical activity.</w:t>
            </w:r>
          </w:p>
          <w:p w14:paraId="3910CA66" w14:textId="0CFCBAAB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Walker Tracker app – used in the past with events.</w:t>
            </w:r>
          </w:p>
          <w:p w14:paraId="21DA207A" w14:textId="6B0FEF77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Move Spring is another option for an app. </w:t>
            </w:r>
          </w:p>
        </w:tc>
        <w:tc>
          <w:tcPr>
            <w:tcW w:w="2160" w:type="dxa"/>
            <w:shd w:val="clear" w:color="auto" w:fill="auto"/>
          </w:tcPr>
          <w:p w14:paraId="065FE14C" w14:textId="20C8A9B8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 w:rsidRPr="006901D2">
              <w:rPr>
                <w:rFonts w:ascii="Cambria" w:hAnsi="Cambria"/>
                <w:szCs w:val="24"/>
              </w:rPr>
              <w:lastRenderedPageBreak/>
              <w:t>Amy</w:t>
            </w:r>
            <w:r>
              <w:rPr>
                <w:rFonts w:ascii="Cambria" w:hAnsi="Cambria"/>
                <w:szCs w:val="24"/>
              </w:rPr>
              <w:t xml:space="preserve">/Hillary </w:t>
            </w:r>
            <w:r w:rsidRPr="006901D2">
              <w:rPr>
                <w:rFonts w:ascii="Cambria" w:hAnsi="Cambria"/>
                <w:szCs w:val="24"/>
              </w:rPr>
              <w:t xml:space="preserve">will review and seek product </w:t>
            </w:r>
            <w:r w:rsidRPr="006901D2">
              <w:rPr>
                <w:rFonts w:ascii="Cambria" w:hAnsi="Cambria"/>
                <w:szCs w:val="24"/>
              </w:rPr>
              <w:lastRenderedPageBreak/>
              <w:t>demonstration</w:t>
            </w:r>
            <w:r>
              <w:rPr>
                <w:rFonts w:ascii="Cambria" w:hAnsi="Cambria"/>
                <w:szCs w:val="24"/>
              </w:rPr>
              <w:t xml:space="preserve"> and will share with </w:t>
            </w:r>
            <w:proofErr w:type="gramStart"/>
            <w:r>
              <w:rPr>
                <w:rFonts w:ascii="Cambria" w:hAnsi="Cambria"/>
                <w:szCs w:val="24"/>
              </w:rPr>
              <w:t>team</w:t>
            </w:r>
            <w:proofErr w:type="gramEnd"/>
          </w:p>
          <w:p w14:paraId="341A201D" w14:textId="1D7B04AF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Amy/Hillary to share proposal to </w:t>
            </w:r>
            <w:proofErr w:type="gramStart"/>
            <w:r>
              <w:rPr>
                <w:rFonts w:ascii="Cambria" w:hAnsi="Cambria"/>
                <w:szCs w:val="24"/>
              </w:rPr>
              <w:t>HDs</w:t>
            </w:r>
            <w:proofErr w:type="gramEnd"/>
          </w:p>
          <w:p w14:paraId="685171BE" w14:textId="77777777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All to check with organization leadership for approval of promotion.</w:t>
            </w:r>
          </w:p>
          <w:p w14:paraId="481CB100" w14:textId="0F519861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Marketing plan committee – Erin Luckey, Amaya, Kim L, Christian</w:t>
            </w:r>
          </w:p>
        </w:tc>
        <w:tc>
          <w:tcPr>
            <w:tcW w:w="3936" w:type="dxa"/>
            <w:shd w:val="clear" w:color="auto" w:fill="auto"/>
          </w:tcPr>
          <w:p w14:paraId="51FAFFDA" w14:textId="77777777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Questions about the walker tracker app -# of walkers – is it per event or </w:t>
            </w:r>
            <w:proofErr w:type="gramStart"/>
            <w:r>
              <w:rPr>
                <w:rFonts w:ascii="Cambria" w:hAnsi="Cambria"/>
                <w:szCs w:val="24"/>
              </w:rPr>
              <w:t>overall</w:t>
            </w:r>
            <w:proofErr w:type="gramEnd"/>
          </w:p>
          <w:p w14:paraId="0FBF2E2F" w14:textId="3C9A88F2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Organization barriers – branding as PFHC, marketing requests</w:t>
            </w:r>
          </w:p>
        </w:tc>
      </w:tr>
      <w:tr w:rsidR="00AF0238" w:rsidRPr="002E64B7" w14:paraId="7B5691D3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36F44FF8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lastRenderedPageBreak/>
              <w:t>PA 2: Recruit additional Tri-County partner participation in the HEAL action team</w:t>
            </w:r>
          </w:p>
        </w:tc>
        <w:tc>
          <w:tcPr>
            <w:tcW w:w="3001" w:type="dxa"/>
            <w:shd w:val="clear" w:color="auto" w:fill="auto"/>
          </w:tcPr>
          <w:p w14:paraId="55ACA9AB" w14:textId="3ADCDEA3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# of partners recruited by 6</w:t>
            </w:r>
            <w:r>
              <w:rPr>
                <w:rFonts w:ascii="Cambria" w:hAnsi="Cambria"/>
                <w:szCs w:val="24"/>
              </w:rPr>
              <w:t xml:space="preserve"> new organizations.</w:t>
            </w:r>
          </w:p>
        </w:tc>
        <w:tc>
          <w:tcPr>
            <w:tcW w:w="1968" w:type="dxa"/>
            <w:shd w:val="clear" w:color="auto" w:fill="auto"/>
          </w:tcPr>
          <w:p w14:paraId="710A6692" w14:textId="74A9072E" w:rsidR="00AF0238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>Baseline: 9 partners (different organizations)</w:t>
            </w:r>
          </w:p>
          <w:p w14:paraId="7DDE2CA2" w14:textId="4BEB144F" w:rsidR="00AF0238" w:rsidRPr="00365D8C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</w:t>
            </w:r>
          </w:p>
          <w:p w14:paraId="5BF5F763" w14:textId="38F203DE" w:rsidR="00AF0238" w:rsidRPr="00262A2B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06206AE2" w14:textId="675ABF46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Shanita provided onboarding for three new individuals; however, they are current partner organizations</w:t>
            </w:r>
          </w:p>
        </w:tc>
        <w:tc>
          <w:tcPr>
            <w:tcW w:w="2160" w:type="dxa"/>
            <w:shd w:val="clear" w:color="auto" w:fill="auto"/>
          </w:tcPr>
          <w:p w14:paraId="24B11261" w14:textId="5515415F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Shanita to share the current partner lists</w:t>
            </w:r>
          </w:p>
        </w:tc>
        <w:tc>
          <w:tcPr>
            <w:tcW w:w="3936" w:type="dxa"/>
            <w:shd w:val="clear" w:color="auto" w:fill="auto"/>
          </w:tcPr>
          <w:p w14:paraId="381AE882" w14:textId="17E847D1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Need to create a recruitment plan. </w:t>
            </w:r>
          </w:p>
        </w:tc>
      </w:tr>
      <w:tr w:rsidR="00AF0238" w:rsidRPr="002E64B7" w14:paraId="78D3FC55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43253A3F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3: Create promotional campaigns to promote physical activity in the Tri-County Region</w:t>
            </w:r>
          </w:p>
        </w:tc>
        <w:tc>
          <w:tcPr>
            <w:tcW w:w="3001" w:type="dxa"/>
            <w:shd w:val="clear" w:color="auto" w:fill="auto"/>
          </w:tcPr>
          <w:p w14:paraId="063860A0" w14:textId="77777777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physical activity campaigns in the Tri-County Region.</w:t>
            </w:r>
          </w:p>
        </w:tc>
        <w:tc>
          <w:tcPr>
            <w:tcW w:w="1968" w:type="dxa"/>
            <w:shd w:val="clear" w:color="auto" w:fill="auto"/>
          </w:tcPr>
          <w:p w14:paraId="7E43C377" w14:textId="77777777" w:rsidR="00AF0238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 w:rsidRPr="00DC564B">
              <w:rPr>
                <w:rFonts w:ascii="Cambria" w:hAnsi="Cambria"/>
                <w:i/>
                <w:iCs/>
                <w:szCs w:val="24"/>
              </w:rPr>
              <w:t xml:space="preserve">Baseline: </w:t>
            </w:r>
            <w:r>
              <w:rPr>
                <w:rFonts w:ascii="Cambria" w:hAnsi="Cambria"/>
                <w:i/>
                <w:iCs/>
                <w:szCs w:val="24"/>
              </w:rPr>
              <w:t>4</w:t>
            </w:r>
            <w:r w:rsidRPr="00DC564B">
              <w:rPr>
                <w:rFonts w:ascii="Cambria" w:hAnsi="Cambria"/>
                <w:i/>
                <w:iCs/>
                <w:szCs w:val="24"/>
              </w:rPr>
              <w:t xml:space="preserve"> campaign</w:t>
            </w:r>
            <w:r>
              <w:rPr>
                <w:rFonts w:ascii="Cambria" w:hAnsi="Cambria"/>
                <w:i/>
                <w:iCs/>
                <w:szCs w:val="24"/>
              </w:rPr>
              <w:t>s</w:t>
            </w:r>
          </w:p>
          <w:p w14:paraId="703564B8" w14:textId="6FB4AC9C" w:rsidR="00AF0238" w:rsidRPr="00365D8C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 campaign: Take A Walk Wednesdays</w:t>
            </w:r>
          </w:p>
          <w:p w14:paraId="3BDF9685" w14:textId="7D7712E9" w:rsidR="00AF0238" w:rsidRPr="00365D8C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4D8F6C1B" w14:textId="20A3BBC0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Take A Walk Wednesdays - Promotion on social media occurring.</w:t>
            </w:r>
          </w:p>
          <w:p w14:paraId="2765EE7F" w14:textId="02436D0E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Destress Mondays November – December 2023</w:t>
            </w:r>
          </w:p>
          <w:p w14:paraId="4C3DFA5F" w14:textId="0C79350F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Move it Monday Campaign beginning in January through March 2024 – “Find the time to fit in fitness” 12 </w:t>
            </w:r>
            <w:proofErr w:type="gramStart"/>
            <w:r>
              <w:rPr>
                <w:rFonts w:ascii="Cambria" w:hAnsi="Cambria"/>
                <w:szCs w:val="24"/>
              </w:rPr>
              <w:t>weeks</w:t>
            </w:r>
            <w:proofErr w:type="gramEnd"/>
          </w:p>
          <w:p w14:paraId="0B9E2F3B" w14:textId="665C2F53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FF97B0A" w14:textId="77777777" w:rsidR="00AF0238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Kim L to provide report on </w:t>
            </w:r>
            <w:proofErr w:type="gramStart"/>
            <w:r>
              <w:rPr>
                <w:rFonts w:ascii="Cambria" w:hAnsi="Cambria"/>
                <w:szCs w:val="24"/>
              </w:rPr>
              <w:t>reach</w:t>
            </w:r>
            <w:proofErr w:type="gramEnd"/>
          </w:p>
          <w:p w14:paraId="4E86A5C7" w14:textId="3D9D11FF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Amy to request assistance with promotion from PFHC.</w:t>
            </w:r>
          </w:p>
        </w:tc>
        <w:tc>
          <w:tcPr>
            <w:tcW w:w="3936" w:type="dxa"/>
            <w:shd w:val="clear" w:color="auto" w:fill="auto"/>
          </w:tcPr>
          <w:p w14:paraId="1E9297BD" w14:textId="3DA56CF2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AF0238" w:rsidRPr="002E64B7" w14:paraId="108CBFA4" w14:textId="77777777" w:rsidTr="00C52CE8">
        <w:trPr>
          <w:trHeight w:val="512"/>
          <w:jc w:val="center"/>
        </w:trPr>
        <w:tc>
          <w:tcPr>
            <w:tcW w:w="2818" w:type="dxa"/>
            <w:shd w:val="clear" w:color="auto" w:fill="auto"/>
          </w:tcPr>
          <w:p w14:paraId="77843E70" w14:textId="77777777" w:rsidR="00AF0238" w:rsidRPr="00262A2B" w:rsidRDefault="00AF0238" w:rsidP="00AF0238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lastRenderedPageBreak/>
              <w:t>PA4: Create social support events focused on increasing physical activity in the Tri-County Region.</w:t>
            </w:r>
          </w:p>
        </w:tc>
        <w:tc>
          <w:tcPr>
            <w:tcW w:w="3001" w:type="dxa"/>
            <w:shd w:val="clear" w:color="auto" w:fill="auto"/>
          </w:tcPr>
          <w:p w14:paraId="275C4EBE" w14:textId="77777777" w:rsidR="00AF0238" w:rsidRPr="00262A2B" w:rsidRDefault="00AF0238" w:rsidP="00AF0238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adults attending each event by 50%</w:t>
            </w:r>
          </w:p>
        </w:tc>
        <w:tc>
          <w:tcPr>
            <w:tcW w:w="1968" w:type="dxa"/>
            <w:shd w:val="clear" w:color="auto" w:fill="auto"/>
          </w:tcPr>
          <w:p w14:paraId="43E245BC" w14:textId="18720E2B" w:rsidR="00AF0238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 xml:space="preserve">Baseline – 1 </w:t>
            </w:r>
            <w:proofErr w:type="gramStart"/>
            <w:r>
              <w:rPr>
                <w:rFonts w:ascii="Cambria" w:hAnsi="Cambria"/>
                <w:i/>
                <w:iCs/>
                <w:szCs w:val="24"/>
              </w:rPr>
              <w:t>events</w:t>
            </w:r>
            <w:proofErr w:type="gramEnd"/>
          </w:p>
          <w:p w14:paraId="4903948E" w14:textId="7F2C0699" w:rsidR="00AF0238" w:rsidRPr="00365D8C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 Event: Hunger Action Walk</w:t>
            </w:r>
          </w:p>
          <w:p w14:paraId="1B4592D6" w14:textId="5A9A0C58" w:rsidR="00AF0238" w:rsidRPr="00262A2B" w:rsidRDefault="00AF0238" w:rsidP="00AF0238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571EDDFA" w14:textId="6626ABD1" w:rsidR="00AF0238" w:rsidRPr="00365D8C" w:rsidRDefault="00AF0238" w:rsidP="00AF0238">
            <w:pPr>
              <w:spacing w:after="0"/>
              <w:jc w:val="center"/>
              <w:rPr>
                <w:rFonts w:ascii="Cambria" w:hAnsi="Cambria"/>
                <w:color w:val="FF0000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Hunger Action Walk occurred on 9/30/23. </w:t>
            </w:r>
            <w:r>
              <w:rPr>
                <w:rFonts w:ascii="Cambria" w:hAnsi="Cambria"/>
                <w:color w:val="FF0000"/>
                <w:szCs w:val="24"/>
              </w:rPr>
              <w:t>Add report link here.</w:t>
            </w:r>
          </w:p>
        </w:tc>
        <w:tc>
          <w:tcPr>
            <w:tcW w:w="2160" w:type="dxa"/>
            <w:shd w:val="clear" w:color="auto" w:fill="auto"/>
          </w:tcPr>
          <w:p w14:paraId="5636AF8A" w14:textId="5BB20A40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14:paraId="0AF9144F" w14:textId="52A5DB64" w:rsidR="00AF0238" w:rsidRPr="00262A2B" w:rsidRDefault="00AF0238" w:rsidP="00AF0238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AF0238" w:rsidRPr="002B1DC3" w14:paraId="6BD0686A" w14:textId="77777777" w:rsidTr="00A44E69">
        <w:trPr>
          <w:trHeight w:val="441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0BBB9E" w14:textId="77777777" w:rsidR="00AF0238" w:rsidRDefault="00AF0238" w:rsidP="00AF0238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02A0BF1D" w14:textId="45A09C97" w:rsidR="00AF0238" w:rsidRPr="00A33BB1" w:rsidRDefault="00AF0238" w:rsidP="00AF0238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bCs/>
                <w:szCs w:val="24"/>
              </w:rPr>
            </w:pPr>
            <w:r w:rsidRPr="00A33BB1">
              <w:rPr>
                <w:rFonts w:ascii="Cambria" w:hAnsi="Cambria"/>
                <w:bCs/>
                <w:szCs w:val="24"/>
              </w:rPr>
              <w:t xml:space="preserve">Fit &amp; Strong </w:t>
            </w:r>
            <w:r w:rsidR="00A33BB1">
              <w:rPr>
                <w:rFonts w:ascii="Cambria" w:hAnsi="Cambria"/>
                <w:bCs/>
                <w:szCs w:val="24"/>
              </w:rPr>
              <w:t>being offered by TCHD</w:t>
            </w:r>
            <w:r w:rsidRPr="00A33BB1">
              <w:rPr>
                <w:rFonts w:ascii="Cambria" w:hAnsi="Cambria"/>
                <w:bCs/>
                <w:szCs w:val="24"/>
              </w:rPr>
              <w:t xml:space="preserve">– 23 participants. 24 weeks </w:t>
            </w:r>
            <w:r w:rsidR="00A33BB1">
              <w:rPr>
                <w:rFonts w:ascii="Cambria" w:hAnsi="Cambria"/>
                <w:bCs/>
                <w:szCs w:val="24"/>
              </w:rPr>
              <w:t>for</w:t>
            </w:r>
            <w:r w:rsidRPr="00A33BB1">
              <w:rPr>
                <w:rFonts w:ascii="Cambria" w:hAnsi="Cambria"/>
                <w:bCs/>
                <w:szCs w:val="24"/>
              </w:rPr>
              <w:t xml:space="preserve"> 2 times </w:t>
            </w:r>
            <w:r w:rsidR="00A33BB1">
              <w:rPr>
                <w:rFonts w:ascii="Cambria" w:hAnsi="Cambria"/>
                <w:bCs/>
                <w:szCs w:val="24"/>
              </w:rPr>
              <w:t>per</w:t>
            </w:r>
            <w:r w:rsidRPr="00A33BB1">
              <w:rPr>
                <w:rFonts w:ascii="Cambria" w:hAnsi="Cambria"/>
                <w:bCs/>
                <w:szCs w:val="24"/>
              </w:rPr>
              <w:t xml:space="preserve"> week.</w:t>
            </w:r>
            <w:r w:rsidR="00A33BB1">
              <w:rPr>
                <w:rFonts w:ascii="Cambria" w:hAnsi="Cambria"/>
                <w:bCs/>
                <w:szCs w:val="24"/>
              </w:rPr>
              <w:t xml:space="preserve"> Waiting list started for next session.</w:t>
            </w:r>
          </w:p>
        </w:tc>
      </w:tr>
    </w:tbl>
    <w:p w14:paraId="4E70439A" w14:textId="77777777" w:rsidR="00F943E2" w:rsidRPr="00363A63" w:rsidRDefault="00F943E2" w:rsidP="00363A63"/>
    <w:sectPr w:rsidR="00F943E2" w:rsidRPr="00363A63" w:rsidSect="00FC64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7248" w14:textId="77777777" w:rsidR="00147972" w:rsidRDefault="00147972" w:rsidP="005A06BE">
      <w:pPr>
        <w:spacing w:after="0" w:line="240" w:lineRule="auto"/>
      </w:pPr>
      <w:r>
        <w:separator/>
      </w:r>
    </w:p>
  </w:endnote>
  <w:endnote w:type="continuationSeparator" w:id="0">
    <w:p w14:paraId="42CD8C60" w14:textId="77777777" w:rsidR="00147972" w:rsidRDefault="00147972" w:rsidP="005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7BDB" w14:textId="77777777" w:rsidR="005A06BE" w:rsidRDefault="005A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A138" w14:textId="77777777" w:rsidR="005A06BE" w:rsidRDefault="005A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01C" w14:textId="77777777" w:rsidR="005A06BE" w:rsidRDefault="005A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DE2A" w14:textId="77777777" w:rsidR="00147972" w:rsidRDefault="00147972" w:rsidP="005A06BE">
      <w:pPr>
        <w:spacing w:after="0" w:line="240" w:lineRule="auto"/>
      </w:pPr>
      <w:r>
        <w:separator/>
      </w:r>
    </w:p>
  </w:footnote>
  <w:footnote w:type="continuationSeparator" w:id="0">
    <w:p w14:paraId="7FB50102" w14:textId="77777777" w:rsidR="00147972" w:rsidRDefault="00147972" w:rsidP="005A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13C" w14:textId="77777777" w:rsidR="005A06BE" w:rsidRDefault="005A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D55" w14:textId="78A0800C" w:rsidR="005A06BE" w:rsidRDefault="005A0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91A4" w14:textId="77777777" w:rsidR="005A06BE" w:rsidRDefault="005A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5C"/>
    <w:multiLevelType w:val="hybridMultilevel"/>
    <w:tmpl w:val="C6E621CC"/>
    <w:lvl w:ilvl="0" w:tplc="7C3C94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338"/>
    <w:multiLevelType w:val="hybridMultilevel"/>
    <w:tmpl w:val="89EE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E6B"/>
    <w:multiLevelType w:val="hybridMultilevel"/>
    <w:tmpl w:val="9FD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23CF"/>
    <w:multiLevelType w:val="hybridMultilevel"/>
    <w:tmpl w:val="E60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5926"/>
    <w:multiLevelType w:val="hybridMultilevel"/>
    <w:tmpl w:val="DB140BB8"/>
    <w:lvl w:ilvl="0" w:tplc="254063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9CF"/>
    <w:multiLevelType w:val="hybridMultilevel"/>
    <w:tmpl w:val="01F43B4E"/>
    <w:lvl w:ilvl="0" w:tplc="C9DEFEF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A45"/>
    <w:multiLevelType w:val="hybridMultilevel"/>
    <w:tmpl w:val="2872175C"/>
    <w:lvl w:ilvl="0" w:tplc="D8BE8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7ED"/>
    <w:multiLevelType w:val="hybridMultilevel"/>
    <w:tmpl w:val="FF7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D6A66"/>
    <w:multiLevelType w:val="hybridMultilevel"/>
    <w:tmpl w:val="45E845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40E96"/>
    <w:multiLevelType w:val="hybridMultilevel"/>
    <w:tmpl w:val="EBFCC2D2"/>
    <w:lvl w:ilvl="0" w:tplc="4C269D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5A68"/>
    <w:multiLevelType w:val="hybridMultilevel"/>
    <w:tmpl w:val="1B86542E"/>
    <w:lvl w:ilvl="0" w:tplc="F402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6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B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8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F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8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4509">
    <w:abstractNumId w:val="8"/>
  </w:num>
  <w:num w:numId="2" w16cid:durableId="1214199874">
    <w:abstractNumId w:val="3"/>
  </w:num>
  <w:num w:numId="3" w16cid:durableId="226961653">
    <w:abstractNumId w:val="11"/>
  </w:num>
  <w:num w:numId="4" w16cid:durableId="1674647546">
    <w:abstractNumId w:val="10"/>
  </w:num>
  <w:num w:numId="5" w16cid:durableId="1764453155">
    <w:abstractNumId w:val="6"/>
  </w:num>
  <w:num w:numId="6" w16cid:durableId="289939372">
    <w:abstractNumId w:val="0"/>
  </w:num>
  <w:num w:numId="7" w16cid:durableId="817575606">
    <w:abstractNumId w:val="2"/>
  </w:num>
  <w:num w:numId="8" w16cid:durableId="1860850100">
    <w:abstractNumId w:val="5"/>
  </w:num>
  <w:num w:numId="9" w16cid:durableId="1502042691">
    <w:abstractNumId w:val="4"/>
  </w:num>
  <w:num w:numId="10" w16cid:durableId="1982148052">
    <w:abstractNumId w:val="9"/>
  </w:num>
  <w:num w:numId="11" w16cid:durableId="1581523473">
    <w:abstractNumId w:val="7"/>
  </w:num>
  <w:num w:numId="12" w16cid:durableId="185927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zMDY0MzQ2MjO2NDVW0lEKTi0uzszPAykwrAUAPOpI6iwAAAA="/>
  </w:docVars>
  <w:rsids>
    <w:rsidRoot w:val="00CE46D9"/>
    <w:rsid w:val="00013678"/>
    <w:rsid w:val="00041534"/>
    <w:rsid w:val="00072884"/>
    <w:rsid w:val="000B5B42"/>
    <w:rsid w:val="000C559B"/>
    <w:rsid w:val="000C6BEA"/>
    <w:rsid w:val="000E72C2"/>
    <w:rsid w:val="001159B6"/>
    <w:rsid w:val="0014779C"/>
    <w:rsid w:val="00147972"/>
    <w:rsid w:val="001528FE"/>
    <w:rsid w:val="001552CE"/>
    <w:rsid w:val="00177B62"/>
    <w:rsid w:val="0018583C"/>
    <w:rsid w:val="00186526"/>
    <w:rsid w:val="001A1F18"/>
    <w:rsid w:val="001A741E"/>
    <w:rsid w:val="0021196A"/>
    <w:rsid w:val="00215F8A"/>
    <w:rsid w:val="002164EB"/>
    <w:rsid w:val="00225DA7"/>
    <w:rsid w:val="00232A06"/>
    <w:rsid w:val="00262A2B"/>
    <w:rsid w:val="002805C6"/>
    <w:rsid w:val="002940E1"/>
    <w:rsid w:val="002B0855"/>
    <w:rsid w:val="002B1DC3"/>
    <w:rsid w:val="002E3569"/>
    <w:rsid w:val="002E3721"/>
    <w:rsid w:val="002E5AC9"/>
    <w:rsid w:val="002E64B7"/>
    <w:rsid w:val="00352B2D"/>
    <w:rsid w:val="00354E83"/>
    <w:rsid w:val="00363A63"/>
    <w:rsid w:val="00365D8C"/>
    <w:rsid w:val="003673E9"/>
    <w:rsid w:val="003A06CD"/>
    <w:rsid w:val="003A29F4"/>
    <w:rsid w:val="003A3489"/>
    <w:rsid w:val="003A5646"/>
    <w:rsid w:val="003B15FF"/>
    <w:rsid w:val="003C240F"/>
    <w:rsid w:val="003C4D7A"/>
    <w:rsid w:val="003D0D27"/>
    <w:rsid w:val="00426900"/>
    <w:rsid w:val="004441E7"/>
    <w:rsid w:val="004540D1"/>
    <w:rsid w:val="00455EA7"/>
    <w:rsid w:val="00471C35"/>
    <w:rsid w:val="00481D8F"/>
    <w:rsid w:val="004867BB"/>
    <w:rsid w:val="00490991"/>
    <w:rsid w:val="004962B6"/>
    <w:rsid w:val="00497557"/>
    <w:rsid w:val="004A2309"/>
    <w:rsid w:val="004B2797"/>
    <w:rsid w:val="004B77C7"/>
    <w:rsid w:val="004E3B09"/>
    <w:rsid w:val="004E79CE"/>
    <w:rsid w:val="00500F11"/>
    <w:rsid w:val="00510FB3"/>
    <w:rsid w:val="00520AB3"/>
    <w:rsid w:val="00527B20"/>
    <w:rsid w:val="0053207B"/>
    <w:rsid w:val="005519C3"/>
    <w:rsid w:val="00583DF7"/>
    <w:rsid w:val="005861AF"/>
    <w:rsid w:val="005A0056"/>
    <w:rsid w:val="005A06BE"/>
    <w:rsid w:val="005C15B6"/>
    <w:rsid w:val="005C4DDC"/>
    <w:rsid w:val="005D21DF"/>
    <w:rsid w:val="005E1491"/>
    <w:rsid w:val="005E4404"/>
    <w:rsid w:val="005F46F5"/>
    <w:rsid w:val="005F7863"/>
    <w:rsid w:val="00605660"/>
    <w:rsid w:val="00614C38"/>
    <w:rsid w:val="00651347"/>
    <w:rsid w:val="00652F33"/>
    <w:rsid w:val="00654DB5"/>
    <w:rsid w:val="006711E3"/>
    <w:rsid w:val="006862D0"/>
    <w:rsid w:val="006901D2"/>
    <w:rsid w:val="00693A65"/>
    <w:rsid w:val="006A6B5F"/>
    <w:rsid w:val="006B20EF"/>
    <w:rsid w:val="006B3935"/>
    <w:rsid w:val="006D102E"/>
    <w:rsid w:val="006F03CF"/>
    <w:rsid w:val="007253C2"/>
    <w:rsid w:val="007801EB"/>
    <w:rsid w:val="007C3C13"/>
    <w:rsid w:val="007D1228"/>
    <w:rsid w:val="007F1C67"/>
    <w:rsid w:val="007F20BD"/>
    <w:rsid w:val="007F30A6"/>
    <w:rsid w:val="007F3704"/>
    <w:rsid w:val="008550D4"/>
    <w:rsid w:val="00860CDE"/>
    <w:rsid w:val="008657AE"/>
    <w:rsid w:val="00867037"/>
    <w:rsid w:val="008709F6"/>
    <w:rsid w:val="008758E6"/>
    <w:rsid w:val="008777BF"/>
    <w:rsid w:val="008C33D1"/>
    <w:rsid w:val="008D5DFD"/>
    <w:rsid w:val="008F1B9D"/>
    <w:rsid w:val="00913FF7"/>
    <w:rsid w:val="00925828"/>
    <w:rsid w:val="00943F45"/>
    <w:rsid w:val="009712CA"/>
    <w:rsid w:val="009903E8"/>
    <w:rsid w:val="009934DA"/>
    <w:rsid w:val="00995759"/>
    <w:rsid w:val="009F0359"/>
    <w:rsid w:val="009F0BE9"/>
    <w:rsid w:val="00A00852"/>
    <w:rsid w:val="00A0277B"/>
    <w:rsid w:val="00A07D46"/>
    <w:rsid w:val="00A24F8E"/>
    <w:rsid w:val="00A33BB1"/>
    <w:rsid w:val="00A64570"/>
    <w:rsid w:val="00A76472"/>
    <w:rsid w:val="00A81933"/>
    <w:rsid w:val="00A935E1"/>
    <w:rsid w:val="00AB78EF"/>
    <w:rsid w:val="00AD2A22"/>
    <w:rsid w:val="00AF0238"/>
    <w:rsid w:val="00AF4BBE"/>
    <w:rsid w:val="00B073C2"/>
    <w:rsid w:val="00B24B90"/>
    <w:rsid w:val="00B33FD3"/>
    <w:rsid w:val="00B629FE"/>
    <w:rsid w:val="00B74E1F"/>
    <w:rsid w:val="00B759FA"/>
    <w:rsid w:val="00B94932"/>
    <w:rsid w:val="00B95F05"/>
    <w:rsid w:val="00B97244"/>
    <w:rsid w:val="00BB797D"/>
    <w:rsid w:val="00BD46A9"/>
    <w:rsid w:val="00BE2EB6"/>
    <w:rsid w:val="00BE38E4"/>
    <w:rsid w:val="00BE3EB5"/>
    <w:rsid w:val="00C24A82"/>
    <w:rsid w:val="00C26AA0"/>
    <w:rsid w:val="00C4615C"/>
    <w:rsid w:val="00C52CE8"/>
    <w:rsid w:val="00C61DC2"/>
    <w:rsid w:val="00C63CAA"/>
    <w:rsid w:val="00C72151"/>
    <w:rsid w:val="00C73CFF"/>
    <w:rsid w:val="00C82BE3"/>
    <w:rsid w:val="00C941E9"/>
    <w:rsid w:val="00CA00F7"/>
    <w:rsid w:val="00CC148A"/>
    <w:rsid w:val="00CE46D9"/>
    <w:rsid w:val="00CF25E0"/>
    <w:rsid w:val="00CF6CDD"/>
    <w:rsid w:val="00D106D4"/>
    <w:rsid w:val="00D14F69"/>
    <w:rsid w:val="00D239D4"/>
    <w:rsid w:val="00D241F0"/>
    <w:rsid w:val="00D24EF2"/>
    <w:rsid w:val="00D31EC9"/>
    <w:rsid w:val="00D468FF"/>
    <w:rsid w:val="00D61DF3"/>
    <w:rsid w:val="00D73D90"/>
    <w:rsid w:val="00D9683F"/>
    <w:rsid w:val="00D97DDC"/>
    <w:rsid w:val="00DA4042"/>
    <w:rsid w:val="00DA47D4"/>
    <w:rsid w:val="00DB3202"/>
    <w:rsid w:val="00DC37EB"/>
    <w:rsid w:val="00DC564B"/>
    <w:rsid w:val="00DD160D"/>
    <w:rsid w:val="00DE70CC"/>
    <w:rsid w:val="00E03C1B"/>
    <w:rsid w:val="00E05FE9"/>
    <w:rsid w:val="00E10E31"/>
    <w:rsid w:val="00E337A8"/>
    <w:rsid w:val="00E41B4F"/>
    <w:rsid w:val="00E434A7"/>
    <w:rsid w:val="00E823A9"/>
    <w:rsid w:val="00EB1D90"/>
    <w:rsid w:val="00EC7241"/>
    <w:rsid w:val="00ED357D"/>
    <w:rsid w:val="00ED506E"/>
    <w:rsid w:val="00EE0750"/>
    <w:rsid w:val="00F01C21"/>
    <w:rsid w:val="00F02E63"/>
    <w:rsid w:val="00F03A3C"/>
    <w:rsid w:val="00F135AD"/>
    <w:rsid w:val="00F16E72"/>
    <w:rsid w:val="00F24B15"/>
    <w:rsid w:val="00F40815"/>
    <w:rsid w:val="00F4203F"/>
    <w:rsid w:val="00F943E2"/>
    <w:rsid w:val="00FA620D"/>
    <w:rsid w:val="00FA6D73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E2238"/>
  <w15:chartTrackingRefBased/>
  <w15:docId w15:val="{9F638384-A7F4-4F25-B7E7-56997F7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table" w:styleId="TableGrid">
    <w:name w:val="Table Grid"/>
    <w:basedOn w:val="TableNormal"/>
    <w:rsid w:val="00CE46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6D9"/>
    <w:pPr>
      <w:ind w:left="720"/>
      <w:contextualSpacing/>
    </w:pPr>
  </w:style>
  <w:style w:type="paragraph" w:styleId="NoSpacing">
    <w:name w:val="No Spacing"/>
    <w:uiPriority w:val="1"/>
    <w:qFormat/>
    <w:rsid w:val="00CE46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03CF"/>
    <w:rPr>
      <w:color w:val="007F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D7A"/>
  </w:style>
  <w:style w:type="character" w:customStyle="1" w:styleId="eop">
    <w:name w:val="eop"/>
    <w:basedOn w:val="DefaultParagraphFont"/>
    <w:rsid w:val="003C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ndaycampaigns.org/kids-cook-monda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ealthyhoi.org/resources/Documents/Hunger%20Action%20Month%20-%20Community%20Toolkit%20PTW%202023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smith\AppData\Local\Temp\Templafy\WordVsto\d1do24cz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30F1896-8CF8-4100-8F5D-5CC4DB0F9B73}">
  <ds:schemaRefs/>
</ds:datastoreItem>
</file>

<file path=customXml/itemProps2.xml><?xml version="1.0" encoding="utf-8"?>
<ds:datastoreItem xmlns:ds="http://schemas.openxmlformats.org/officeDocument/2006/customXml" ds:itemID="{194B9378-D48C-49E8-8859-D0A4903E7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d1do24cz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8235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Smith, Amanda B.</dc:creator>
  <cp:keywords/>
  <dc:description/>
  <cp:lastModifiedBy>Shanita Wallace</cp:lastModifiedBy>
  <cp:revision>2</cp:revision>
  <dcterms:created xsi:type="dcterms:W3CDTF">2023-10-23T16:38:00Z</dcterms:created>
  <dcterms:modified xsi:type="dcterms:W3CDTF">2023-10-23T16:38:00Z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637608318067316858</vt:lpwstr>
  </property>
  <property fmtid="{D5CDD505-2E9C-101B-9397-08002B2CF9AE}" pid="5" name="TemplafyFromBlank">
    <vt:bool>true</vt:bool>
  </property>
</Properties>
</file>